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3F2F" w14:textId="77777777" w:rsidR="00094C11" w:rsidRPr="00094C11" w:rsidRDefault="00094C11" w:rsidP="00094C11">
      <w:pPr>
        <w:pStyle w:val="Normaalweb"/>
        <w:rPr>
          <w:rFonts w:ascii="Helvetica" w:hAnsi="Helvetica"/>
          <w:b/>
          <w:bCs/>
          <w:color w:val="000000"/>
          <w:sz w:val="28"/>
          <w:szCs w:val="28"/>
        </w:rPr>
      </w:pPr>
      <w:r w:rsidRPr="00094C11">
        <w:rPr>
          <w:rFonts w:ascii="Helvetica" w:hAnsi="Helvetica"/>
          <w:b/>
          <w:bCs/>
          <w:color w:val="000000"/>
          <w:sz w:val="28"/>
          <w:szCs w:val="28"/>
        </w:rPr>
        <w:t>Is Maria medeverlosser van deze wereld?</w:t>
      </w:r>
    </w:p>
    <w:p w14:paraId="0CA4B99B" w14:textId="77777777" w:rsidR="00094C11" w:rsidRPr="00094C11" w:rsidRDefault="00094C11" w:rsidP="00094C11">
      <w:pPr>
        <w:pStyle w:val="Normaalweb"/>
        <w:spacing w:before="0" w:beforeAutospacing="0" w:after="0" w:afterAutospacing="0"/>
        <w:rPr>
          <w:rFonts w:ascii="Helvetica" w:hAnsi="Helvetica"/>
          <w:color w:val="444444"/>
        </w:rPr>
      </w:pPr>
      <w:r w:rsidRPr="00094C11">
        <w:rPr>
          <w:rStyle w:val="Zwaar"/>
          <w:rFonts w:ascii="Helvetica" w:eastAsiaTheme="majorEastAsia" w:hAnsi="Helvetica"/>
          <w:color w:val="444444"/>
          <w:bdr w:val="none" w:sz="0" w:space="0" w:color="auto" w:frame="1"/>
        </w:rPr>
        <w:t>©door Eric D. Svendsen</w:t>
      </w:r>
    </w:p>
    <w:p w14:paraId="26712662"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De rooms-katholieke theologie trekt enkele parallellen tussen Maria, de moeder van Jezus, en het verlossingswerk van Jezus Zelf. Net zoals Jezus is geboren zonder de smet van de erfzonde, zo wordt dat ook van Maria gedacht. Jezus leidde een zondeloos leven, net zoals Maria. Jezus blijft Zijn hele leven ongerept, Maria is de eeuwigdurende maagd. Jezus is de Verlosser, Maria is mede-verlosser. Jezus is de enige Middelaar tussen God en mens, maar Maria is ook middelares. Zoals Jezus lichamelijk in de hemel is, wordt verondersteld dat ook Maria lichamelijk in de hemel is. Het toeschrijven van eigenschappen van Christus aan Maria is van oudsher een bron van twist tussen protestanten (deze zien geen Schriftuurlijke basis voor deze aannames) en rooms-katholieken (die de rol van traditie in de geschiedenis benadrukken).</w:t>
      </w:r>
    </w:p>
    <w:p w14:paraId="5DDA447B" w14:textId="77777777" w:rsidR="00094C11" w:rsidRPr="00094C11" w:rsidRDefault="00094C11" w:rsidP="00094C11">
      <w:pPr>
        <w:pStyle w:val="Normaalweb"/>
        <w:spacing w:before="0" w:beforeAutospacing="0" w:after="0" w:afterAutospacing="0"/>
        <w:rPr>
          <w:rFonts w:ascii="Helvetica" w:hAnsi="Helvetica"/>
          <w:color w:val="444444"/>
        </w:rPr>
      </w:pPr>
      <w:r w:rsidRPr="00094C11">
        <w:rPr>
          <w:rStyle w:val="Zwaar"/>
          <w:rFonts w:ascii="Helvetica" w:eastAsiaTheme="majorEastAsia" w:hAnsi="Helvetica"/>
          <w:color w:val="444444"/>
          <w:bdr w:val="none" w:sz="0" w:space="0" w:color="auto" w:frame="1"/>
        </w:rPr>
        <w:t>Definities van begrippen</w:t>
      </w:r>
    </w:p>
    <w:p w14:paraId="19821C72"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De hierboven genoemde veronderstellingen zijn allemaal officiële rooms-katholieke dogma’s. De uitzonderingen, namelijk mede-verlosser en mede-bemiddelares, zijn niettemin keurmerken van de rooms-katholieke devotie, waardoor vele rooms-katholieke gelovigen aannemen dat het toch dogma’s zijn. Vaak worden deze twee titels als alleen bepalend voor Maria gezien en is er alleen een technisch onderscheid. Maria als verlosser wordt in grote lijnen gezien als een actieve beslissing van Maria om ermee in te stemmen om de moeder van Jezus te worden en dat zo verlossing mogelijk werd, terwijl Middelares gezien werd als te maken hebbende met het actieve werk van Maria om voortdurend te pleiten voor de redding van hen die hun toevlucht tot haar nemen. Deze rooms-katholieke leer wordt is samengevat in het document Ineffabillis Deus: ‘Al onze hoop moet rusten op de meest gezegende maagd, op de volkomen eerlijke en vlekkeloze persoon die de giftige kop van de meest wrede slang verpletterde en die redding bracht (dus verlosser!); …in haar die met haar eniggeboren Zoon, de meest krachtige Middelares en Conciliatie is in de hele wereld; …….in haar hopen we, zij die ons uit zoveel bedreigende gevaren bevrijd heeft’ (1).</w:t>
      </w:r>
    </w:p>
    <w:p w14:paraId="2F89FB43"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Ondanks de inspanningen van een aantal rooms-katholieke geleerden om uitspraken over deze hoedanigheden van Maria te bagatelliseren en de excessen die op grond hiervan plaatsvinden te beperken, wordt de traditionele rooms-katholieke vroomheid nog steeds door deze regels bepaald. Men gelooft dat Maria een verlosser is (in die zin dat als zij geen toestemming gegeven zou hebben de Zoon van God te dragen, de wereld voor altijd verloren zou zijn) en men gelooft in de rol van Maria als middelares (in die zin dat zij actief reddende genade voor de gelovigen uitdeelt en bidt tot haar Zoon namens hen op een zodanige wijze dat Christus haar voorspraak niet kan weerstaan). Eadmer (AD 1060-1124), een Engelse monnik en leerling van Anselmus, illustreert duidelijk de excessen van deze visie: “Soms lijkt het heil sneller te komen als we Maria’s naam aanroepen dan als we een beroep doen op de naam van de Here Jezus”. “Rooms-katholieke apologeten verwoorden deze gevoelens tegenwoordig anders, maar dat mag niet worden opgevat als een meningsverschil over de hoedanigheden van Maria’s vroomheid. Wanneer de apologeten geconfronteerd worden met dergelijke uitspraken over Maria, proberen ze (ten onrechte) snel nog een rechtvaardiging in de Bijbel te vinden.</w:t>
      </w:r>
    </w:p>
    <w:p w14:paraId="5B78F582" w14:textId="77777777" w:rsidR="00094C11" w:rsidRPr="00094C11" w:rsidRDefault="00094C11" w:rsidP="00094C11">
      <w:pPr>
        <w:pStyle w:val="Normaalweb"/>
        <w:spacing w:before="0" w:beforeAutospacing="0" w:after="0" w:afterAutospacing="0"/>
        <w:rPr>
          <w:rFonts w:ascii="Helvetica" w:hAnsi="Helvetica"/>
          <w:color w:val="444444"/>
        </w:rPr>
      </w:pPr>
      <w:r w:rsidRPr="00094C11">
        <w:rPr>
          <w:rStyle w:val="Zwaar"/>
          <w:rFonts w:ascii="Helvetica" w:eastAsiaTheme="majorEastAsia" w:hAnsi="Helvetica"/>
          <w:color w:val="444444"/>
          <w:bdr w:val="none" w:sz="0" w:space="0" w:color="auto" w:frame="1"/>
        </w:rPr>
        <w:t>De vermeende Schriftuurlijke basis voor Maria als verlosser</w:t>
      </w:r>
    </w:p>
    <w:p w14:paraId="4A6F5098"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 xml:space="preserve">De belangrijkste ‘bewijstekst’ voor Maria als verlosser is te vinden in het eerste hoofdstuk van Lukas. Dit ene hoofdstuk fungeert als de primaire Schriftuurlijke basis voor de vermeende onbevlekte ontvangenis van Maria (“Wees gegroet, vol van genade”, vs. 28 in de Douay-Rheims Bijbel, SV), haar speciale status onder de gelovigen (“De Heer is met u”, vs. 28), haar eeuwige maagdelijkheid (“Hoe zal dat zijn omdat ik een maagd ben”, vs. 34) haar status als ‘Moeder van God’ ( Waarom is dit verleend aan mij, dat de moeder van mijn Heer tot mij komt?”, vs. 43), haar unieke </w:t>
      </w:r>
      <w:r w:rsidRPr="00094C11">
        <w:rPr>
          <w:rFonts w:ascii="Helvetica" w:hAnsi="Helvetica"/>
          <w:color w:val="444444"/>
        </w:rPr>
        <w:lastRenderedPageBreak/>
        <w:t>‘zaligheid’ (“Gezegend zijt gij onder de vrouwen”, vs. 42 en “Alle geslachten zullen mij zalig noemen” vs. 48) evenals haar rol als verlosser. Een volledige bespreking van dit hoofdstuk als een ondersteuning van deze overtuigingen is in dit korte artikel niet mogelijk. Ik wil me richten op een enkel vers in dit hoofdstuk dat de rol van Maria als verlosser zou bevestigen.</w:t>
      </w:r>
    </w:p>
    <w:p w14:paraId="2B73C54A"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In Luk. 1:38 zegt Maria, nadat de engel aangekondigd had dat zij door de kracht van de Heilige Geest zwanger zou worden van een kind dat de Zoon van God genoemd zou worden: “De Heer wil ik dienen: laat er met mij gebeuren wat u gezegd hebt”. De rooms-katholieke geleerde John McHugh ziet in Maria’s verklaring een fiat, dat wil zeggen een toestemming om deel te nemen aan het Goddelijke plan, in plaats van gewoon een nederige onderwerping aan Gods wil. De katholieke theologe Tina Beattie gaat zelfs zo ver dat zij benadrukt: “Er was geen impliciete dreiging in Gods uitnodiging en geen angst voor de straf. Als ze koos voor het rustige leven, zou ze met rust gelaten worden. De beslissing was van haar en haar alleen… De geschiedenis van de hele wereld werd in de waagschaal gezet door de keuze van een jonge vrouw”.</w:t>
      </w:r>
    </w:p>
    <w:p w14:paraId="13647B35"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De katholieke nieuw-testamenticus Francis Moloney beweert: ”Maria vrij was om te reageren of niet te reageren en dat moet los gezien moet worden van het initiatief van God”. De katholieke auteur Neal Flanagan schrijft in zijn boek Marian Creed: “Ik geloof dat Maria´s toestemming het christelijk tijdperk heeft ingeluid en haar op een intieme manier deel maakte aan het verlossende werk van Christus”. De impliciete veronderstelling van Moloney en de nog duidelijkere stelling van Flanagan (en anderen), is dat de verlossing van de wereld afhankelijk is van het besluit van Maria om Gods weg in haar leven te aanvaarden.</w:t>
      </w:r>
    </w:p>
    <w:p w14:paraId="10D75322" w14:textId="77777777" w:rsidR="00094C11" w:rsidRPr="00094C11" w:rsidRDefault="00094C11" w:rsidP="00094C11">
      <w:pPr>
        <w:pStyle w:val="Normaalweb"/>
        <w:spacing w:before="0" w:beforeAutospacing="0" w:after="0" w:afterAutospacing="0"/>
        <w:rPr>
          <w:rFonts w:ascii="Helvetica" w:hAnsi="Helvetica"/>
          <w:color w:val="444444"/>
        </w:rPr>
      </w:pPr>
      <w:r w:rsidRPr="00094C11">
        <w:rPr>
          <w:rStyle w:val="Zwaar"/>
          <w:rFonts w:ascii="Helvetica" w:eastAsiaTheme="majorEastAsia" w:hAnsi="Helvetica"/>
          <w:color w:val="444444"/>
          <w:bdr w:val="none" w:sz="0" w:space="0" w:color="auto" w:frame="1"/>
        </w:rPr>
        <w:t>Een bijbels antwoord</w:t>
      </w:r>
      <w:r w:rsidRPr="00094C11">
        <w:rPr>
          <w:rStyle w:val="apple-converted-space"/>
          <w:rFonts w:ascii="Helvetica" w:eastAsiaTheme="majorEastAsia" w:hAnsi="Helvetica"/>
          <w:b/>
          <w:bCs/>
          <w:color w:val="444444"/>
          <w:bdr w:val="none" w:sz="0" w:space="0" w:color="auto" w:frame="1"/>
        </w:rPr>
        <w:t> </w:t>
      </w:r>
    </w:p>
    <w:p w14:paraId="2F9CFFA4"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Deze voorbeelden van Bijbeluitleg gaan allemaal voorbij aan de bedoelingen en geest van de schrijver en worden misbruikt in de discussie rond Maria. Deze inlegkunde is voorbeeld van een logische denkfout die geldt als iemand een uitzondering wil maken op een algemeen aanvaarde regel of uitleg zonder dat deze uitzondering voldoende gerechtvaardigd wordt. Als er zijn andere bijbelse personen zijn die in vergelijkbare omstandigheden zijn als Maria zijn, dan moet ook dezelfde hermeneutiek toegepast worden. Dat doen bovengenoemde auteurs niet, en in plaats daarvan geven zij aan Lukas 1.38 een aparte bijzondere betekenis. Als we hun hermeneutische toepassing op Maria´s keuze om Gods plan te accepteren Zijn Zoon te dragen, ‘labellen’ als mede-verlosser, dan moeten we vanuit dezelfde hermeneutiek Paulus’ beslissing om Gods leiding te aanvaarden om het evangelie onder de heidenen te brengen ook in die zin interpreteren. Moeten we dan tot de conclusie komen dat als Paulus geweigerd zou hebben, God Zijn verlies genomen zou hebben en alleen verder zou gaan met de Joden? Maria´s ´beslissing om samen te werken` is niet relevant in Gods heilsplan. God maakt alleen bekend dat Maria zijn Zoon zal dragen, Hij vraagt haar toestemming niet! Maria´s samenwerking is niet van meer belang als de samenwerking van Jozef in het verslag van Mattheüs. Jozef werd voor ´de keus´ gesteld om te beslissen Maria tot zijn vrouw te nemen. Als Jozef geweigerd zou hebben, zou Maria, als ongetrouwde, zwangere vrouw zijn beschuldigd van overspel, verbannen en misschien zelfs gestenigd worden. Dat zou de dood van moeder en kind betekend hebben. Geen van de exegeten die een bijzondere betekenis aan ’Maria´s toestemming’ geven zullen zo ver gaan dat de beslissing van Jozef in Mattheüs 1 om samen met Maria verder te gaan, Jozef ook als een ´mede-verlosser´ te kenschetsen. Bovendien is er geen enkele basis Maria als verlosser aan te merken door haar samenwerking met Gods heilsplan; in die zin is ze niet belangrijker dan Abraham, Isaac, Jacob, Mozes, Gideon of Jeremia. Elk van hen was even belangrijk in de uitvoering van Gods heilsplan in de geschiedenis.</w:t>
      </w:r>
    </w:p>
    <w:p w14:paraId="35080A93" w14:textId="77777777" w:rsidR="00094C11" w:rsidRPr="00094C11" w:rsidRDefault="00094C11" w:rsidP="00094C11">
      <w:pPr>
        <w:pStyle w:val="Normaalweb"/>
        <w:spacing w:before="0" w:beforeAutospacing="0" w:after="0" w:afterAutospacing="0"/>
        <w:rPr>
          <w:rFonts w:ascii="Helvetica" w:hAnsi="Helvetica"/>
          <w:color w:val="444444"/>
        </w:rPr>
      </w:pPr>
      <w:r w:rsidRPr="00094C11">
        <w:rPr>
          <w:rFonts w:ascii="Helvetica" w:hAnsi="Helvetica"/>
          <w:color w:val="444444"/>
        </w:rPr>
        <w:t>Bovendien, wat moeten we denken van voorbeelden in de geschiedenis waar Gods doel bereikt werd</w:t>
      </w:r>
      <w:r w:rsidRPr="00094C11">
        <w:rPr>
          <w:rStyle w:val="apple-converted-space"/>
          <w:rFonts w:ascii="Helvetica" w:eastAsiaTheme="majorEastAsia" w:hAnsi="Helvetica"/>
          <w:color w:val="444444"/>
        </w:rPr>
        <w:t> </w:t>
      </w:r>
      <w:r w:rsidRPr="00094C11">
        <w:rPr>
          <w:rStyle w:val="Zwaar"/>
          <w:rFonts w:ascii="Helvetica" w:eastAsiaTheme="majorEastAsia" w:hAnsi="Helvetica"/>
          <w:color w:val="444444"/>
          <w:bdr w:val="none" w:sz="0" w:space="0" w:color="auto" w:frame="1"/>
        </w:rPr>
        <w:t>ondanks</w:t>
      </w:r>
      <w:r w:rsidRPr="00094C11">
        <w:rPr>
          <w:rStyle w:val="apple-converted-space"/>
          <w:rFonts w:ascii="Helvetica" w:eastAsiaTheme="majorEastAsia" w:hAnsi="Helvetica"/>
          <w:b/>
          <w:bCs/>
          <w:color w:val="444444"/>
          <w:bdr w:val="none" w:sz="0" w:space="0" w:color="auto" w:frame="1"/>
        </w:rPr>
        <w:t> </w:t>
      </w:r>
      <w:r w:rsidRPr="00094C11">
        <w:rPr>
          <w:rFonts w:ascii="Helvetica" w:hAnsi="Helvetica"/>
          <w:color w:val="444444"/>
        </w:rPr>
        <w:t xml:space="preserve">of misschien wel dankzij de ongehoorzaamheidvan bepaalde mensen.Tamar die als prostituee een buitenechtelijk kind kreeg, die in de directe afstammingslijn van de </w:t>
      </w:r>
      <w:r w:rsidRPr="00094C11">
        <w:rPr>
          <w:rFonts w:ascii="Helvetica" w:hAnsi="Helvetica"/>
          <w:color w:val="444444"/>
        </w:rPr>
        <w:lastRenderedPageBreak/>
        <w:t>Messias was. (Gen38; vgl. Mat. 1:3) God bracht de twee zonen van Juda ter dood vanwege hun ongehoorzaamheid en Juda zelf werd de vader van Tamars kinderen, geboren uit zijn zondige relatie met haar.</w:t>
      </w:r>
    </w:p>
    <w:p w14:paraId="108A74A2"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Farao heeft in het verleden ook geprobeerd Gods plan te dwarsbomen door te weigeren Gods volk te laten gaan. Maar Paulus noemt dit later als een integraal deel van Gods plan: “Want het Schriftwoord zegt tot Farao: `Daartoe heb ik u doen opstaan, opdat ik in u mijn kracht zou tonen en mijn naam verbreid zou worden over de gehele aarde’”( Rom. 9.17).</w:t>
      </w:r>
    </w:p>
    <w:p w14:paraId="2AA92C6A"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Ik kan zonder problemen nog meer voorbeelden noemen zoals van Jona die in Gods plan paste ondanks zijn grote tegenzin en zelfs van Judas, wiens verraad aan Jezus door de nieuwtestamentische schrijvers gezien werd als een noodzaak om tot verlossing te komen. ”De Zoon des mensen gaat wel heen gelijk van Hem geschreven staat, doch wee de mens, door wie de Zoon des mensen verraden wordt. Het ware voor die mens goed, als hij niet geboren was” (Luk. 22:22; Mark.14:20,21; Mat.26: 23). Hun onwil om met God samen te werken bracht Gods plan met Zijn volk niet in gevaar; deze mensen werden of getuchtigd (=opgevoed) totdat ze deden wat God zei, of ze werden vervangen door anderen die wel meewerkten, of ze werden onbewust gedwongen als een middel om aan een plan mee te werken waar ze op tegen waren! De suggestie dat God Maria vraagt samen te werken voor de verlossing van Zijn volk is niet meer dan een heel on-bijbelse aanname.</w:t>
      </w:r>
    </w:p>
    <w:p w14:paraId="3719B5E0"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De katholieke theoloog Richard Skiba geeft als commentaar op Maria´s reactie in Luk. 1:38 een betere verklaring van haar motivatie: “Ze wacht op het bevel van de ander. Het laatste woord in deze zaak is namelijk niet van haar”. De motivatie van Maria´s response is zeker niet het theologische fiat of de toestemming zoals Rome dat leert. Maria is een dienares (slaaf) van de Heer die niet de pretentie heeft om God en Zijn heilsplan en de rest van de wereld op afstand te houden, terwijl ze nadenkt over een beslissing, maar veelmeer een houding van nederige onderwerping aan het plan van God, omdat dat de enig mogelijke respons is voor een dienstknecht van de Heer: “Mij geschiedde naar Uw Woord”.</w:t>
      </w:r>
    </w:p>
    <w:p w14:paraId="70632445" w14:textId="77777777" w:rsidR="00094C11" w:rsidRPr="00094C11" w:rsidRDefault="00094C11" w:rsidP="00094C11">
      <w:pPr>
        <w:pStyle w:val="Normaalweb"/>
        <w:spacing w:before="0" w:beforeAutospacing="0" w:after="0" w:afterAutospacing="0"/>
        <w:rPr>
          <w:rFonts w:ascii="Helvetica" w:hAnsi="Helvetica"/>
          <w:color w:val="444444"/>
        </w:rPr>
      </w:pPr>
      <w:r w:rsidRPr="00094C11">
        <w:rPr>
          <w:rStyle w:val="Zwaar"/>
          <w:rFonts w:ascii="Helvetica" w:eastAsiaTheme="majorEastAsia" w:hAnsi="Helvetica"/>
          <w:color w:val="444444"/>
          <w:bdr w:val="none" w:sz="0" w:space="0" w:color="auto" w:frame="1"/>
        </w:rPr>
        <w:t>©door Eric D. Svendsen</w:t>
      </w:r>
    </w:p>
    <w:p w14:paraId="2673595D"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Een artikel van The Practical Hermeneutics column in het Christian Research Journal , vol. 31, nr. 3, 2008.</w:t>
      </w:r>
    </w:p>
    <w:p w14:paraId="323806A6" w14:textId="77777777" w:rsidR="00094C11" w:rsidRPr="00094C11" w:rsidRDefault="00094C11" w:rsidP="00094C11">
      <w:pPr>
        <w:pStyle w:val="Normaalweb"/>
        <w:spacing w:before="0" w:beforeAutospacing="0" w:after="225" w:afterAutospacing="0"/>
        <w:rPr>
          <w:rFonts w:ascii="Helvetica" w:hAnsi="Helvetica"/>
          <w:color w:val="444444"/>
        </w:rPr>
      </w:pPr>
      <w:r w:rsidRPr="00094C11">
        <w:rPr>
          <w:rFonts w:ascii="Helvetica" w:hAnsi="Helvetica"/>
          <w:color w:val="444444"/>
        </w:rPr>
        <w:t>©Vertaling Gerard Feller</w:t>
      </w:r>
    </w:p>
    <w:p w14:paraId="2A63DB2F"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Style w:val="Zwaar"/>
          <w:rFonts w:ascii="Helvetica" w:eastAsiaTheme="majorEastAsia" w:hAnsi="Helvetica"/>
          <w:color w:val="333333"/>
          <w:bdr w:val="none" w:sz="0" w:space="0" w:color="auto" w:frame="1"/>
        </w:rPr>
        <w:t>OPMERKINGEN</w:t>
      </w:r>
    </w:p>
    <w:p w14:paraId="53DC5B7C"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1 Paus Pius IX</w:t>
      </w:r>
      <w:r w:rsidRPr="00094C11">
        <w:rPr>
          <w:rStyle w:val="Nadruk"/>
          <w:rFonts w:ascii="Helvetica" w:eastAsiaTheme="majorEastAsia" w:hAnsi="Helvetica"/>
          <w:color w:val="333333"/>
          <w:bdr w:val="none" w:sz="0" w:space="0" w:color="auto" w:frame="1"/>
        </w:rPr>
        <w:t>, Mary Immaculate: The Bull Ineffabilis Deus</w:t>
      </w:r>
      <w:r w:rsidRPr="00094C11">
        <w:rPr>
          <w:rFonts w:ascii="Helvetica" w:hAnsi="Helvetica"/>
          <w:color w:val="333333"/>
          <w:bdr w:val="none" w:sz="0" w:space="0" w:color="auto" w:frame="1"/>
        </w:rPr>
        <w:t> (Paterson, NJ: St. Antonius Gilde Press, 1946), 23.</w:t>
      </w:r>
    </w:p>
    <w:p w14:paraId="47AE93D7"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2 Eadmer van Canterbury, </w:t>
      </w:r>
      <w:r w:rsidRPr="00094C11">
        <w:rPr>
          <w:rStyle w:val="Nadruk"/>
          <w:rFonts w:ascii="Helvetica" w:eastAsiaTheme="majorEastAsia" w:hAnsi="Helvetica"/>
          <w:color w:val="333333"/>
          <w:bdr w:val="none" w:sz="0" w:space="0" w:color="auto" w:frame="1"/>
        </w:rPr>
        <w:t>Liber de Excellentia Beatae Mariae</w:t>
      </w:r>
      <w:r w:rsidRPr="00094C11">
        <w:rPr>
          <w:rFonts w:ascii="Helvetica" w:hAnsi="Helvetica"/>
          <w:color w:val="333333"/>
          <w:bdr w:val="none" w:sz="0" w:space="0" w:color="auto" w:frame="1"/>
        </w:rPr>
        <w:t> in Jacques-Paul Migne, </w:t>
      </w:r>
      <w:r w:rsidRPr="00094C11">
        <w:rPr>
          <w:rStyle w:val="Nadruk"/>
          <w:rFonts w:ascii="Helvetica" w:eastAsiaTheme="majorEastAsia" w:hAnsi="Helvetica"/>
          <w:color w:val="333333"/>
          <w:bdr w:val="none" w:sz="0" w:space="0" w:color="auto" w:frame="1"/>
        </w:rPr>
        <w:t>PatrologiaLatina,</w:t>
      </w:r>
      <w:r w:rsidRPr="00094C11">
        <w:rPr>
          <w:rFonts w:ascii="Helvetica" w:hAnsi="Helvetica"/>
          <w:color w:val="333333"/>
          <w:bdr w:val="none" w:sz="0" w:space="0" w:color="auto" w:frame="1"/>
        </w:rPr>
        <w:t> Vol. 159 (Paris: J.P. Migne, 1844-1855), 309, geciteerd in J. Shinners, 'De cultus van Maria en populair geloof’ in </w:t>
      </w:r>
      <w:r w:rsidRPr="00094C11">
        <w:rPr>
          <w:rStyle w:val="Nadruk"/>
          <w:rFonts w:ascii="Helvetica" w:eastAsiaTheme="majorEastAsia" w:hAnsi="Helvetica"/>
          <w:color w:val="333333"/>
          <w:bdr w:val="none" w:sz="0" w:space="0" w:color="auto" w:frame="1"/>
        </w:rPr>
        <w:t>Maria, de vrouw van Nazareth: bijbelse en theologische perspectieven</w:t>
      </w:r>
      <w:r w:rsidRPr="00094C11">
        <w:rPr>
          <w:rFonts w:ascii="Helvetica" w:hAnsi="Helvetica"/>
          <w:color w:val="333333"/>
          <w:bdr w:val="none" w:sz="0" w:space="0" w:color="auto" w:frame="1"/>
        </w:rPr>
        <w:t> , uitg. Doris Donnelly (New York: Paulist, 1989), 170.</w:t>
      </w:r>
    </w:p>
    <w:p w14:paraId="0F6A793F"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3 Tenzij anders vermeld, zijn alle Bijbelcitaten afkomstig uit de English Standard Version.</w:t>
      </w:r>
    </w:p>
    <w:p w14:paraId="02BA2D13"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4 Voor een uitputtende behandeling, zie Eric D. Svendsen, </w:t>
      </w:r>
      <w:r w:rsidRPr="00094C11">
        <w:rPr>
          <w:rStyle w:val="Nadruk"/>
          <w:rFonts w:ascii="Helvetica" w:eastAsiaTheme="majorEastAsia" w:hAnsi="Helvetica"/>
          <w:color w:val="333333"/>
          <w:bdr w:val="none" w:sz="0" w:space="0" w:color="auto" w:frame="1"/>
        </w:rPr>
        <w:t>Wie is mijn moeder? De rol en de status van de Moeder van Jezus in het Nieuwe Testament en het rooms-katholicisme</w:t>
      </w:r>
      <w:r w:rsidRPr="00094C11">
        <w:rPr>
          <w:rFonts w:ascii="Helvetica" w:hAnsi="Helvetica"/>
          <w:color w:val="333333"/>
          <w:bdr w:val="none" w:sz="0" w:space="0" w:color="auto" w:frame="1"/>
        </w:rPr>
        <w:t> (Amityville, NY: Calvary ​​Press, 2001).</w:t>
      </w:r>
    </w:p>
    <w:p w14:paraId="3B5FD472"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5 John McHugh, </w:t>
      </w:r>
      <w:r w:rsidRPr="00094C11">
        <w:rPr>
          <w:rStyle w:val="Nadruk"/>
          <w:rFonts w:ascii="Helvetica" w:eastAsiaTheme="majorEastAsia" w:hAnsi="Helvetica"/>
          <w:color w:val="333333"/>
          <w:bdr w:val="none" w:sz="0" w:space="0" w:color="auto" w:frame="1"/>
        </w:rPr>
        <w:t>de moeder van Jezus in het Nieuwe Testament</w:t>
      </w:r>
      <w:r w:rsidRPr="00094C11">
        <w:rPr>
          <w:rFonts w:ascii="Helvetica" w:hAnsi="Helvetica"/>
          <w:color w:val="333333"/>
          <w:bdr w:val="none" w:sz="0" w:space="0" w:color="auto" w:frame="1"/>
        </w:rPr>
        <w:t> (Garden City, NJ: Doubleday, 1975), 65. Vgl. William G. Most, "Onbijbelse Maria Leer?". </w:t>
      </w:r>
      <w:r w:rsidRPr="00094C11">
        <w:rPr>
          <w:rStyle w:val="Nadruk"/>
          <w:rFonts w:ascii="Helvetica" w:eastAsiaTheme="majorEastAsia" w:hAnsi="Helvetica"/>
          <w:color w:val="333333"/>
          <w:bdr w:val="none" w:sz="0" w:space="0" w:color="auto" w:frame="1"/>
        </w:rPr>
        <w:t>Homiletic and Pastoral Review</w:t>
      </w:r>
      <w:r w:rsidRPr="00094C11">
        <w:rPr>
          <w:rFonts w:ascii="Helvetica" w:hAnsi="Helvetica"/>
          <w:color w:val="333333"/>
          <w:bdr w:val="none" w:sz="0" w:space="0" w:color="auto" w:frame="1"/>
        </w:rPr>
        <w:t> 94 (mei 1994), 61.</w:t>
      </w:r>
    </w:p>
    <w:p w14:paraId="6665E923"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lastRenderedPageBreak/>
        <w:t>6 Tina Beattie, </w:t>
      </w:r>
      <w:r w:rsidRPr="00094C11">
        <w:rPr>
          <w:rStyle w:val="apple-converted-space"/>
          <w:rFonts w:ascii="Helvetica" w:eastAsiaTheme="majorEastAsia" w:hAnsi="Helvetica"/>
          <w:i/>
          <w:iCs/>
          <w:color w:val="333333"/>
          <w:bdr w:val="none" w:sz="0" w:space="0" w:color="auto" w:frame="1"/>
        </w:rPr>
        <w:t> </w:t>
      </w:r>
      <w:r w:rsidRPr="00094C11">
        <w:rPr>
          <w:rStyle w:val="Nadruk"/>
          <w:rFonts w:ascii="Helvetica" w:eastAsiaTheme="majorEastAsia" w:hAnsi="Helvetica"/>
          <w:color w:val="333333"/>
          <w:bdr w:val="none" w:sz="0" w:space="0" w:color="auto" w:frame="1"/>
        </w:rPr>
        <w:t>Maria herontdekken: Inzichten uit de evangeliën</w:t>
      </w:r>
      <w:r w:rsidRPr="00094C11">
        <w:rPr>
          <w:rFonts w:ascii="Helvetica" w:hAnsi="Helvetica"/>
          <w:color w:val="333333"/>
          <w:bdr w:val="none" w:sz="0" w:space="0" w:color="auto" w:frame="1"/>
        </w:rPr>
        <w:t> (Liguori, MO: Triumph Books, 1995), 23.</w:t>
      </w:r>
    </w:p>
    <w:p w14:paraId="6EADDEBF"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7 Francis J. Moloney, </w:t>
      </w:r>
      <w:r w:rsidRPr="00094C11">
        <w:rPr>
          <w:rStyle w:val="Nadruk"/>
          <w:rFonts w:ascii="Helvetica" w:eastAsiaTheme="majorEastAsia" w:hAnsi="Helvetica"/>
          <w:color w:val="333333"/>
          <w:bdr w:val="none" w:sz="0" w:space="0" w:color="auto" w:frame="1"/>
        </w:rPr>
        <w:t>Maris: Vrouw en Moeder</w:t>
      </w:r>
      <w:r w:rsidRPr="00094C11">
        <w:rPr>
          <w:rFonts w:ascii="Helvetica" w:hAnsi="Helvetica"/>
          <w:color w:val="333333"/>
          <w:bdr w:val="none" w:sz="0" w:space="0" w:color="auto" w:frame="1"/>
        </w:rPr>
        <w:t> (Collegeville, MN: Liturgical Press, 1988), 19.</w:t>
      </w:r>
    </w:p>
    <w:p w14:paraId="1F4728F8"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8 Zie Neal Flanagan, "Maria van Nazareth: Vrouw voor alle tijdens," </w:t>
      </w:r>
      <w:r w:rsidRPr="00094C11">
        <w:rPr>
          <w:rStyle w:val="Nadruk"/>
          <w:rFonts w:ascii="Helvetica" w:eastAsiaTheme="majorEastAsia" w:hAnsi="Helvetica"/>
          <w:color w:val="333333"/>
          <w:bdr w:val="none" w:sz="0" w:space="0" w:color="auto" w:frame="1"/>
        </w:rPr>
        <w:t>Marianum</w:t>
      </w:r>
      <w:r w:rsidRPr="00094C11">
        <w:rPr>
          <w:rFonts w:ascii="Helvetica" w:hAnsi="Helvetica"/>
          <w:color w:val="333333"/>
          <w:bdr w:val="none" w:sz="0" w:space="0" w:color="auto" w:frame="1"/>
        </w:rPr>
        <w:t> 48 (1986), 167.</w:t>
      </w:r>
    </w:p>
    <w:p w14:paraId="07FB7502" w14:textId="77777777" w:rsidR="00094C11" w:rsidRPr="00094C11" w:rsidRDefault="00094C11" w:rsidP="00094C11">
      <w:pPr>
        <w:pStyle w:val="Normaalweb"/>
        <w:spacing w:before="0" w:beforeAutospacing="0" w:after="0" w:afterAutospacing="0" w:line="330" w:lineRule="atLeast"/>
        <w:rPr>
          <w:rFonts w:ascii="Helvetica" w:hAnsi="Helvetica"/>
          <w:color w:val="444444"/>
        </w:rPr>
      </w:pPr>
      <w:r w:rsidRPr="00094C11">
        <w:rPr>
          <w:rFonts w:ascii="Helvetica" w:hAnsi="Helvetica"/>
          <w:color w:val="333333"/>
          <w:bdr w:val="none" w:sz="0" w:space="0" w:color="auto" w:frame="1"/>
        </w:rPr>
        <w:t>9 Richard Skiba, "Maria en de 'Anawim’", in </w:t>
      </w:r>
      <w:r w:rsidRPr="00094C11">
        <w:rPr>
          <w:rStyle w:val="Nadruk"/>
          <w:rFonts w:ascii="Helvetica" w:eastAsiaTheme="majorEastAsia" w:hAnsi="Helvetica"/>
          <w:color w:val="333333"/>
          <w:bdr w:val="none" w:sz="0" w:space="0" w:color="auto" w:frame="1"/>
        </w:rPr>
        <w:t>Maria, de vrouw van Nazareth: bijbelse en theologische perspectieven,</w:t>
      </w:r>
      <w:r w:rsidRPr="00094C11">
        <w:rPr>
          <w:rFonts w:ascii="Helvetica" w:hAnsi="Helvetica"/>
          <w:color w:val="333333"/>
          <w:bdr w:val="none" w:sz="0" w:space="0" w:color="auto" w:frame="1"/>
        </w:rPr>
        <w:t> uitg. Doris Donnelly (New York: Paulist, 1989), 124-26.</w:t>
      </w:r>
    </w:p>
    <w:p w14:paraId="6D7AC1F1" w14:textId="77777777" w:rsidR="00010034" w:rsidRPr="00094C11" w:rsidRDefault="00010034">
      <w:pPr>
        <w:rPr>
          <w:sz w:val="24"/>
          <w:szCs w:val="24"/>
        </w:rPr>
      </w:pPr>
    </w:p>
    <w:sectPr w:rsidR="00010034" w:rsidRPr="00094C11" w:rsidSect="00094C1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11"/>
    <w:rsid w:val="00010034"/>
    <w:rsid w:val="0001060C"/>
    <w:rsid w:val="000343A4"/>
    <w:rsid w:val="00094C11"/>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50D0C3"/>
  <w14:defaultImageDpi w14:val="32767"/>
  <w15:chartTrackingRefBased/>
  <w15:docId w15:val="{06C7A2E0-3D3A-4944-A844-A22A5ADB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094C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9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10180</Characters>
  <Application>Microsoft Office Word</Application>
  <DocSecurity>0</DocSecurity>
  <Lines>84</Lines>
  <Paragraphs>24</Paragraphs>
  <ScaleCrop>false</ScaleCrop>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2022-02-02T12:07:00Z</dcterms:created>
  <dcterms:modified xsi:type="dcterms:W3CDTF">2022-02-02T12:07:00Z</dcterms:modified>
</cp:coreProperties>
</file>